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35" w:rsidRDefault="00784398">
      <w:r>
        <w:rPr>
          <w:b/>
          <w:i/>
        </w:rPr>
        <w:t>The Glass Castle</w:t>
      </w:r>
      <w:r>
        <w:rPr>
          <w:b/>
        </w:rPr>
        <w:t xml:space="preserve"> </w:t>
      </w:r>
      <w:r w:rsidR="005C254D">
        <w:rPr>
          <w:b/>
        </w:rPr>
        <w:t>Hunger</w:t>
      </w:r>
      <w:r>
        <w:rPr>
          <w:b/>
        </w:rPr>
        <w:t xml:space="preserve"> Analysis</w:t>
      </w:r>
      <w:r w:rsidR="008A4F35">
        <w:tab/>
      </w:r>
      <w:r w:rsidR="008A4F35">
        <w:tab/>
      </w:r>
      <w:r w:rsidR="008A4F35">
        <w:tab/>
      </w:r>
      <w:r w:rsidR="008A4F35">
        <w:tab/>
        <w:t>Name: ______________________________________</w:t>
      </w:r>
      <w:r w:rsidR="008A4F35" w:rsidRPr="008A4F35">
        <w:br/>
      </w:r>
      <w:r w:rsidR="001A0EFB">
        <w:t xml:space="preserve">Honors PSL </w:t>
      </w:r>
      <w:r w:rsidR="00840E82">
        <w:t xml:space="preserve">Summative Rubric </w:t>
      </w:r>
      <w:r w:rsidR="008A4F35">
        <w:t xml:space="preserve"> </w:t>
      </w:r>
      <w:r w:rsidR="008C3F4C">
        <w:tab/>
      </w:r>
      <w:r w:rsidR="008C3F4C">
        <w:tab/>
      </w:r>
      <w:r w:rsidR="008C3F4C">
        <w:tab/>
      </w:r>
      <w:r w:rsidR="008C3F4C">
        <w:tab/>
      </w:r>
      <w:r w:rsidR="008C3F4C">
        <w:tab/>
        <w:t>Deadline: ____________________________________</w:t>
      </w:r>
    </w:p>
    <w:p w:rsidR="0023250D" w:rsidRDefault="0023250D">
      <w:r>
        <w:t>I</w:t>
      </w:r>
      <w:r w:rsidRPr="0023250D">
        <w:t>n her memoir </w:t>
      </w:r>
      <w:r w:rsidRPr="0023250D">
        <w:rPr>
          <w:i/>
          <w:iCs/>
        </w:rPr>
        <w:t>The Glass Castle</w:t>
      </w:r>
      <w:r w:rsidRPr="0023250D">
        <w:t xml:space="preserve">, Jeannette Walls </w:t>
      </w:r>
      <w:r>
        <w:t>narrates</w:t>
      </w:r>
      <w:r w:rsidRPr="0023250D">
        <w:t xml:space="preserve"> the story of her non-traditional childhood.  As part of this experience, she recounts many times when she and her family experienced a lack of food security.</w:t>
      </w:r>
      <w:r w:rsidRPr="0023250D">
        <w:br/>
      </w:r>
      <w:r w:rsidRPr="0023250D">
        <w:br/>
      </w:r>
      <w:r w:rsidRPr="0023250D">
        <w:rPr>
          <w:b/>
          <w:bCs/>
        </w:rPr>
        <w:t>Consider both the times when the family experiences devastating hunger, as well as the moments when they connect with food.  Then, in a well-developed essay, discuss the narrator's memories of food and hunger, and analyze how those moments contribute to the tone and the meaning of the text.  </w:t>
      </w:r>
      <w:r w:rsidR="0069426B">
        <w:rPr>
          <w:b/>
          <w:bCs/>
        </w:rPr>
        <w:t>Consider extending the conversation by including information from</w:t>
      </w:r>
      <w:r w:rsidR="004949F6">
        <w:rPr>
          <w:b/>
          <w:bCs/>
        </w:rPr>
        <w:t xml:space="preserve"> supplemental resources available on our website, and </w:t>
      </w:r>
      <w:r w:rsidR="0069426B">
        <w:rPr>
          <w:b/>
          <w:bCs/>
        </w:rPr>
        <w:t xml:space="preserve">analyzing how that content connects with Walls’ experiences.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5"/>
        <w:gridCol w:w="1563"/>
        <w:gridCol w:w="1629"/>
        <w:gridCol w:w="1611"/>
        <w:gridCol w:w="1440"/>
      </w:tblGrid>
      <w:tr w:rsidR="00BE02C7" w:rsidRPr="008C3F4C" w:rsidTr="00BE02C7">
        <w:tc>
          <w:tcPr>
            <w:tcW w:w="4485" w:type="dxa"/>
            <w:shd w:val="clear" w:color="auto" w:fill="DAEEF3" w:themeFill="accent5" w:themeFillTint="33"/>
          </w:tcPr>
          <w:p w:rsidR="00BE02C7" w:rsidRPr="008A4F35" w:rsidRDefault="00BE02C7">
            <w:pPr>
              <w:rPr>
                <w:b/>
              </w:rPr>
            </w:pPr>
            <w:r w:rsidRPr="008A4F35">
              <w:rPr>
                <w:b/>
              </w:rPr>
              <w:t>Thesis, Purpose, and Significance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:rsidR="00BE02C7" w:rsidRPr="008C3F4C" w:rsidRDefault="00BE02C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Advanced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BE02C7" w:rsidRPr="008C3F4C" w:rsidRDefault="00BE02C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Proficient (P) </w:t>
            </w:r>
          </w:p>
        </w:tc>
        <w:tc>
          <w:tcPr>
            <w:tcW w:w="1611" w:type="dxa"/>
            <w:shd w:val="clear" w:color="auto" w:fill="DAEEF3" w:themeFill="accent5" w:themeFillTint="33"/>
          </w:tcPr>
          <w:p w:rsidR="00BE02C7" w:rsidRPr="008C3F4C" w:rsidRDefault="00BE02C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Progress (IP)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BE02C7" w:rsidRPr="008C3F4C" w:rsidRDefault="00BE02C7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Not Met (NM) </w:t>
            </w: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784398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Thesis responds to the assignment clearly.  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 w:rsidP="001D085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 w:rsidP="001D0853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Essay’s purpose is clear, and shows a high degree of originality and/or independent thought.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 w:rsidP="008A4F3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 w:rsidP="008A4F35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Significance of the problem addressed is given clearly and compellingly, with a high degree of originality.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 w:rsidP="008A4F3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 w:rsidP="008A4F35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  <w:shd w:val="clear" w:color="auto" w:fill="DAEEF3" w:themeFill="accent5" w:themeFillTint="33"/>
          </w:tcPr>
          <w:p w:rsidR="00BE02C7" w:rsidRPr="005E54F4" w:rsidRDefault="00BE02C7">
            <w:pPr>
              <w:rPr>
                <w:b/>
                <w:sz w:val="20"/>
                <w:szCs w:val="20"/>
              </w:rPr>
            </w:pPr>
            <w:r w:rsidRPr="005E54F4">
              <w:rPr>
                <w:b/>
                <w:sz w:val="20"/>
                <w:szCs w:val="20"/>
              </w:rPr>
              <w:t xml:space="preserve">Text Analysis and Usage 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Advanced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Proficient</w:t>
            </w:r>
          </w:p>
        </w:tc>
        <w:tc>
          <w:tcPr>
            <w:tcW w:w="1611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In Progress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Not Met </w:t>
            </w: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Author accurately and thoroughly summarizes or paraphrases texts used. 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 w:rsidP="001D085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 w:rsidP="001D0853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Author demonstrates ability to read texts accurately and comprehensively. 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 w:rsidP="00696C4A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 w:rsidP="00696C4A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Author demonstrates ability to read texts critically/analytically. 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Texts are synthesized into conversation thoroughly and effectively.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  <w:shd w:val="clear" w:color="auto" w:fill="DAEEF3" w:themeFill="accent5" w:themeFillTint="33"/>
          </w:tcPr>
          <w:p w:rsidR="00BE02C7" w:rsidRPr="005E54F4" w:rsidRDefault="00BE02C7">
            <w:pPr>
              <w:rPr>
                <w:b/>
                <w:sz w:val="20"/>
                <w:szCs w:val="20"/>
              </w:rPr>
            </w:pPr>
            <w:r w:rsidRPr="005E54F4">
              <w:rPr>
                <w:b/>
                <w:sz w:val="20"/>
                <w:szCs w:val="20"/>
              </w:rPr>
              <w:t xml:space="preserve">Style and Voice 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Advanced 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Proficient</w:t>
            </w:r>
          </w:p>
        </w:tc>
        <w:tc>
          <w:tcPr>
            <w:tcW w:w="1611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 Progress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Not Met </w:t>
            </w: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>Style and voice are highly appropriate to the given audience, purpose, genre, and claims.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 w:rsidP="008A4F35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 w:rsidP="008A4F35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C47779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Style and voice show originality and creativity.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Word choice is specific, purposeful, dynamic, and varied throughout the essay. 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Sentences are clear, active (subject-verb-object) and to the point.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  <w:shd w:val="clear" w:color="auto" w:fill="DAEEF3" w:themeFill="accent5" w:themeFillTint="33"/>
          </w:tcPr>
          <w:p w:rsidR="00BE02C7" w:rsidRPr="005E54F4" w:rsidRDefault="00BE02C7">
            <w:pPr>
              <w:rPr>
                <w:b/>
                <w:sz w:val="20"/>
                <w:szCs w:val="20"/>
              </w:rPr>
            </w:pPr>
            <w:r w:rsidRPr="005E54F4">
              <w:rPr>
                <w:b/>
                <w:sz w:val="20"/>
                <w:szCs w:val="20"/>
              </w:rPr>
              <w:t xml:space="preserve">Presentation and Organization </w:t>
            </w:r>
          </w:p>
        </w:tc>
        <w:tc>
          <w:tcPr>
            <w:tcW w:w="1563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Advanced </w:t>
            </w:r>
          </w:p>
        </w:tc>
        <w:tc>
          <w:tcPr>
            <w:tcW w:w="1629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 w:rsidRPr="008C3F4C">
              <w:rPr>
                <w:b/>
                <w:sz w:val="12"/>
                <w:szCs w:val="12"/>
              </w:rPr>
              <w:t>Proficient</w:t>
            </w:r>
          </w:p>
        </w:tc>
        <w:tc>
          <w:tcPr>
            <w:tcW w:w="1611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In Progress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BE02C7" w:rsidRPr="008C3F4C" w:rsidRDefault="00BE02C7" w:rsidP="002B7A82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Not Met </w:t>
            </w: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>Topic sentences identify paragraphs’ purposes, reflect their content, and contribute to the overall unity of the essay, and transitions indicate relationships between not only paragraphs, but ideas.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611" w:type="dxa"/>
          </w:tcPr>
          <w:p w:rsidR="00BE02C7" w:rsidRPr="008C3F4C" w:rsidRDefault="00BE02C7" w:rsidP="00177E6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 w:rsidP="00177E6F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>Overall organization of paragraphs is logical and purposeful.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 xml:space="preserve">The essay is free from grammatical or mechanical errors. 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</w:tr>
      <w:tr w:rsidR="00BE02C7" w:rsidRPr="008C3F4C" w:rsidTr="00BE02C7">
        <w:tc>
          <w:tcPr>
            <w:tcW w:w="4485" w:type="dxa"/>
          </w:tcPr>
          <w:p w:rsidR="00BE02C7" w:rsidRPr="005E54F4" w:rsidRDefault="00BE02C7" w:rsidP="001D0853">
            <w:pPr>
              <w:rPr>
                <w:sz w:val="20"/>
                <w:szCs w:val="20"/>
              </w:rPr>
            </w:pPr>
            <w:r w:rsidRPr="005E54F4">
              <w:rPr>
                <w:sz w:val="20"/>
                <w:szCs w:val="20"/>
              </w:rPr>
              <w:t>Conforms to MLA rules for formatting and citations of sources perfectly.</w:t>
            </w:r>
          </w:p>
        </w:tc>
        <w:tc>
          <w:tcPr>
            <w:tcW w:w="1563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29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611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</w:tcPr>
          <w:p w:rsidR="00BE02C7" w:rsidRPr="008C3F4C" w:rsidRDefault="00BE02C7">
            <w:pPr>
              <w:rPr>
                <w:sz w:val="12"/>
                <w:szCs w:val="12"/>
              </w:rPr>
            </w:pPr>
          </w:p>
        </w:tc>
      </w:tr>
    </w:tbl>
    <w:p w:rsidR="00784398" w:rsidRPr="0023250D" w:rsidRDefault="00784398" w:rsidP="00784398">
      <w:pPr>
        <w:pStyle w:val="NoSpacing"/>
        <w:rPr>
          <w:sz w:val="16"/>
          <w:szCs w:val="16"/>
        </w:rPr>
      </w:pPr>
      <w:r>
        <w:br/>
      </w:r>
      <w:r w:rsidRPr="0023250D">
        <w:rPr>
          <w:sz w:val="16"/>
          <w:szCs w:val="16"/>
        </w:rPr>
        <w:t>Learning Targets</w:t>
      </w:r>
    </w:p>
    <w:p w:rsidR="00784398" w:rsidRPr="0023250D" w:rsidRDefault="00784398" w:rsidP="00784398">
      <w:pPr>
        <w:pStyle w:val="NoSpacing"/>
        <w:numPr>
          <w:ilvl w:val="0"/>
          <w:numId w:val="3"/>
        </w:numPr>
        <w:rPr>
          <w:rFonts w:eastAsia="Times New Roman"/>
          <w:sz w:val="16"/>
          <w:szCs w:val="16"/>
        </w:rPr>
      </w:pPr>
      <w:r w:rsidRPr="0023250D">
        <w:rPr>
          <w:sz w:val="16"/>
          <w:szCs w:val="16"/>
        </w:rPr>
        <w:t>Read to infer/interpret and cite text evidence</w:t>
      </w:r>
    </w:p>
    <w:p w:rsidR="00784398" w:rsidRPr="0023250D" w:rsidRDefault="00784398" w:rsidP="00784398">
      <w:pPr>
        <w:pStyle w:val="NoSpacing"/>
        <w:numPr>
          <w:ilvl w:val="0"/>
          <w:numId w:val="3"/>
        </w:numPr>
        <w:rPr>
          <w:rFonts w:eastAsia="Times New Roman"/>
          <w:sz w:val="16"/>
          <w:szCs w:val="16"/>
        </w:rPr>
      </w:pPr>
      <w:r w:rsidRPr="0023250D">
        <w:rPr>
          <w:rFonts w:eastAsia="Times New Roman"/>
          <w:sz w:val="16"/>
          <w:szCs w:val="16"/>
        </w:rPr>
        <w:t>Analyze how the author's choice of words, text structures, and point of view shape the meaning tone, and style of a text.</w:t>
      </w:r>
    </w:p>
    <w:p w:rsidR="00784398" w:rsidRPr="0023250D" w:rsidRDefault="00784398" w:rsidP="00784398">
      <w:pPr>
        <w:pStyle w:val="NoSpacing"/>
        <w:numPr>
          <w:ilvl w:val="0"/>
          <w:numId w:val="3"/>
        </w:numPr>
        <w:rPr>
          <w:sz w:val="16"/>
          <w:szCs w:val="16"/>
        </w:rPr>
      </w:pPr>
      <w:r w:rsidRPr="0023250D">
        <w:rPr>
          <w:sz w:val="16"/>
          <w:szCs w:val="16"/>
        </w:rPr>
        <w:t>Write informative/explanatory texts to examine and convey complex ideas, concepts, and information clearly and accurately through the effective selection, organization, and analysis of content.</w:t>
      </w:r>
    </w:p>
    <w:sectPr w:rsidR="00784398" w:rsidRPr="0023250D" w:rsidSect="008128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598"/>
    <w:multiLevelType w:val="multilevel"/>
    <w:tmpl w:val="872A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D36CE"/>
    <w:multiLevelType w:val="hybridMultilevel"/>
    <w:tmpl w:val="7D26B3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45282"/>
    <w:multiLevelType w:val="hybridMultilevel"/>
    <w:tmpl w:val="F516D2B2"/>
    <w:lvl w:ilvl="0" w:tplc="7CB0EDD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7D"/>
    <w:rsid w:val="00010025"/>
    <w:rsid w:val="000A5141"/>
    <w:rsid w:val="001A0EFB"/>
    <w:rsid w:val="001D0853"/>
    <w:rsid w:val="0023250D"/>
    <w:rsid w:val="002517BD"/>
    <w:rsid w:val="002676A8"/>
    <w:rsid w:val="00301E50"/>
    <w:rsid w:val="0036145E"/>
    <w:rsid w:val="00386DAD"/>
    <w:rsid w:val="003A70AB"/>
    <w:rsid w:val="003C0A9E"/>
    <w:rsid w:val="004949F6"/>
    <w:rsid w:val="00581A57"/>
    <w:rsid w:val="005C254D"/>
    <w:rsid w:val="005D1A02"/>
    <w:rsid w:val="005E54F4"/>
    <w:rsid w:val="005E744C"/>
    <w:rsid w:val="006275A9"/>
    <w:rsid w:val="006300DE"/>
    <w:rsid w:val="00655112"/>
    <w:rsid w:val="006575D2"/>
    <w:rsid w:val="0069426B"/>
    <w:rsid w:val="00753A76"/>
    <w:rsid w:val="007663C4"/>
    <w:rsid w:val="007832AD"/>
    <w:rsid w:val="00784398"/>
    <w:rsid w:val="007F063E"/>
    <w:rsid w:val="0080686C"/>
    <w:rsid w:val="0081287D"/>
    <w:rsid w:val="00840E82"/>
    <w:rsid w:val="008A4F35"/>
    <w:rsid w:val="008C3F4C"/>
    <w:rsid w:val="00997F0A"/>
    <w:rsid w:val="009B3CA6"/>
    <w:rsid w:val="009F7C93"/>
    <w:rsid w:val="00A33711"/>
    <w:rsid w:val="00B27E6F"/>
    <w:rsid w:val="00BE02C7"/>
    <w:rsid w:val="00C110E0"/>
    <w:rsid w:val="00C47779"/>
    <w:rsid w:val="00DE7841"/>
    <w:rsid w:val="00E07EB6"/>
    <w:rsid w:val="00E15B78"/>
    <w:rsid w:val="00EB666D"/>
    <w:rsid w:val="00F26404"/>
    <w:rsid w:val="00F6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5D98B"/>
  <w15:docId w15:val="{9D231005-773B-47B5-93FD-F5485758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A4F3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843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trenal</dc:creator>
  <cp:lastModifiedBy>Trentanelli, Allison</cp:lastModifiedBy>
  <cp:revision>3</cp:revision>
  <cp:lastPrinted>2017-09-11T13:38:00Z</cp:lastPrinted>
  <dcterms:created xsi:type="dcterms:W3CDTF">2017-09-11T17:47:00Z</dcterms:created>
  <dcterms:modified xsi:type="dcterms:W3CDTF">2017-09-20T11:44:00Z</dcterms:modified>
</cp:coreProperties>
</file>